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D1C90" w14:textId="0B9A809A" w:rsidR="00C42762" w:rsidRPr="00C42762" w:rsidRDefault="00C42762" w:rsidP="00C4276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eastAsia="MS Mincho" w:hAnsi="Calibri" w:cs="Calibri"/>
          <w:b/>
          <w:lang w:val="de-DE" w:eastAsia="x-none"/>
        </w:rPr>
      </w:pPr>
      <w:r w:rsidRPr="00C42762">
        <w:rPr>
          <w:rFonts w:ascii="Calibri" w:eastAsia="MS Mincho" w:hAnsi="Calibri" w:cs="Calibri"/>
          <w:b/>
          <w:lang w:val="de-DE" w:eastAsia="x-none"/>
        </w:rPr>
        <w:t>3GPP TSG-RAN WG2 Meeting #124</w:t>
      </w:r>
      <w:r w:rsidRPr="00C42762">
        <w:rPr>
          <w:rFonts w:ascii="Calibri" w:eastAsia="MS Mincho" w:hAnsi="Calibri" w:cs="Calibri"/>
          <w:b/>
          <w:lang w:val="de-DE" w:eastAsia="x-none"/>
        </w:rPr>
        <w:tab/>
        <w:t>R2-2</w:t>
      </w:r>
      <w:r w:rsidR="002E3286">
        <w:rPr>
          <w:rFonts w:ascii="Calibri" w:eastAsia="MS Mincho" w:hAnsi="Calibri" w:cs="Calibri"/>
          <w:b/>
          <w:lang w:val="de-DE" w:eastAsia="x-none"/>
        </w:rPr>
        <w:t>312218</w:t>
      </w:r>
    </w:p>
    <w:p w14:paraId="7964C4D5" w14:textId="4EF26C14" w:rsidR="00105716" w:rsidRDefault="00C42762" w:rsidP="00C4276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eastAsia="MS Mincho" w:hAnsi="Calibri" w:cs="Calibri"/>
          <w:b/>
          <w:lang w:val="de-DE" w:eastAsia="x-none"/>
        </w:rPr>
      </w:pPr>
      <w:r w:rsidRPr="00C42762">
        <w:rPr>
          <w:rFonts w:ascii="Calibri" w:eastAsia="MS Mincho" w:hAnsi="Calibri" w:cs="Calibri"/>
          <w:b/>
          <w:lang w:val="de-DE" w:eastAsia="x-none"/>
        </w:rPr>
        <w:t>Chicago, USA, Nov. 13</w:t>
      </w:r>
      <w:r w:rsidRPr="00C42762">
        <w:rPr>
          <w:rFonts w:ascii="Calibri" w:eastAsia="MS Mincho" w:hAnsi="Calibri" w:cs="Calibri"/>
          <w:b/>
          <w:vertAlign w:val="superscript"/>
          <w:lang w:val="de-DE" w:eastAsia="x-none"/>
        </w:rPr>
        <w:t>th</w:t>
      </w:r>
      <w:r w:rsidRPr="00C42762">
        <w:rPr>
          <w:rFonts w:ascii="Calibri" w:eastAsia="MS Mincho" w:hAnsi="Calibri" w:cs="Calibri"/>
          <w:b/>
          <w:lang w:val="de-DE" w:eastAsia="x-none"/>
        </w:rPr>
        <w:t xml:space="preserve"> – 17</w:t>
      </w:r>
      <w:r w:rsidRPr="00C42762">
        <w:rPr>
          <w:rFonts w:ascii="Calibri" w:eastAsia="MS Mincho" w:hAnsi="Calibri" w:cs="Calibri"/>
          <w:b/>
          <w:vertAlign w:val="superscript"/>
          <w:lang w:val="de-DE" w:eastAsia="x-none"/>
        </w:rPr>
        <w:t>th</w:t>
      </w:r>
      <w:r w:rsidRPr="00C42762">
        <w:rPr>
          <w:rFonts w:ascii="Calibri" w:eastAsia="MS Mincho" w:hAnsi="Calibri" w:cs="Calibri"/>
          <w:b/>
          <w:lang w:val="de-DE" w:eastAsia="x-none"/>
        </w:rPr>
        <w:t>, 2023</w:t>
      </w:r>
    </w:p>
    <w:p w14:paraId="45292D88" w14:textId="77777777" w:rsidR="00C42762" w:rsidRPr="00C42762" w:rsidRDefault="00C42762" w:rsidP="00C4276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eastAsia="MS Mincho" w:hAnsi="Calibri" w:cs="Calibri"/>
          <w:b/>
          <w:lang w:val="de-DE" w:eastAsia="x-none"/>
        </w:rPr>
      </w:pPr>
    </w:p>
    <w:p w14:paraId="29E0189D" w14:textId="2B8AE178" w:rsidR="00105716" w:rsidRPr="00CD7B65" w:rsidRDefault="00105716" w:rsidP="00105716">
      <w:pPr>
        <w:pStyle w:val="3GPPHeader"/>
        <w:rPr>
          <w:rFonts w:ascii="Calibri" w:hAnsi="Calibri" w:cs="Calibri"/>
          <w:sz w:val="20"/>
        </w:rPr>
      </w:pPr>
      <w:r w:rsidRPr="00CD7B65">
        <w:rPr>
          <w:rFonts w:ascii="Calibri" w:hAnsi="Calibri" w:cs="Calibri"/>
          <w:sz w:val="20"/>
        </w:rPr>
        <w:t>Agenda Item:</w:t>
      </w:r>
      <w:r w:rsidRPr="00CD7B65">
        <w:rPr>
          <w:rFonts w:ascii="Calibri" w:hAnsi="Calibri" w:cs="Calibri"/>
          <w:sz w:val="20"/>
        </w:rPr>
        <w:tab/>
        <w:t>7.15.</w:t>
      </w:r>
      <w:r w:rsidR="006C0B4A">
        <w:rPr>
          <w:rFonts w:ascii="Calibri" w:hAnsi="Calibri" w:cs="Calibri"/>
          <w:sz w:val="20"/>
        </w:rPr>
        <w:t>1</w:t>
      </w:r>
    </w:p>
    <w:p w14:paraId="151D14FB" w14:textId="77777777" w:rsidR="00105716" w:rsidRPr="00CD7B65" w:rsidRDefault="00105716" w:rsidP="00105716">
      <w:pPr>
        <w:pStyle w:val="3GPPHeader"/>
        <w:rPr>
          <w:rFonts w:ascii="Calibri" w:hAnsi="Calibri" w:cs="Calibri"/>
          <w:sz w:val="20"/>
        </w:rPr>
      </w:pPr>
      <w:r w:rsidRPr="00CD7B65">
        <w:rPr>
          <w:rFonts w:ascii="Calibri" w:hAnsi="Calibri" w:cs="Calibri"/>
          <w:sz w:val="20"/>
        </w:rPr>
        <w:t>Source:</w:t>
      </w:r>
      <w:r w:rsidRPr="00CD7B65">
        <w:rPr>
          <w:rFonts w:ascii="Calibri" w:hAnsi="Calibri" w:cs="Calibri"/>
          <w:sz w:val="20"/>
        </w:rPr>
        <w:tab/>
        <w:t>NEC</w:t>
      </w:r>
    </w:p>
    <w:p w14:paraId="17BAA1C6" w14:textId="04C09639" w:rsidR="00105716" w:rsidRPr="00CD7B65" w:rsidRDefault="00105716" w:rsidP="00105716">
      <w:pPr>
        <w:pStyle w:val="3GPPHeader"/>
        <w:rPr>
          <w:rFonts w:ascii="Calibri" w:hAnsi="Calibri" w:cs="Calibri"/>
          <w:sz w:val="20"/>
        </w:rPr>
      </w:pPr>
      <w:r w:rsidRPr="00CD7B65">
        <w:rPr>
          <w:rFonts w:ascii="Calibri" w:hAnsi="Calibri" w:cs="Calibri"/>
          <w:sz w:val="20"/>
        </w:rPr>
        <w:t>Title:</w:t>
      </w:r>
      <w:r w:rsidRPr="00CD7B65">
        <w:rPr>
          <w:rFonts w:ascii="Calibri" w:hAnsi="Calibri" w:cs="Calibri"/>
          <w:sz w:val="20"/>
        </w:rPr>
        <w:tab/>
      </w:r>
      <w:r w:rsidR="00D377C3" w:rsidRPr="00CD7B65">
        <w:rPr>
          <w:rFonts w:ascii="Calibri" w:hAnsi="Calibri" w:cs="Calibri"/>
          <w:sz w:val="20"/>
        </w:rPr>
        <w:t>Terminology alignment considering SL-U and SL CA</w:t>
      </w:r>
    </w:p>
    <w:p w14:paraId="6DDCF26F" w14:textId="77777777" w:rsidR="00105716" w:rsidRPr="00CD7B65" w:rsidRDefault="00105716" w:rsidP="00105716">
      <w:pPr>
        <w:pStyle w:val="3GPPHeader"/>
        <w:rPr>
          <w:rFonts w:ascii="Calibri" w:hAnsi="Calibri" w:cs="Calibri"/>
          <w:sz w:val="20"/>
        </w:rPr>
      </w:pPr>
      <w:r w:rsidRPr="00CD7B65">
        <w:rPr>
          <w:rFonts w:ascii="Calibri" w:hAnsi="Calibri" w:cs="Calibri"/>
          <w:sz w:val="20"/>
        </w:rPr>
        <w:t>Document for:</w:t>
      </w:r>
      <w:r w:rsidRPr="00CD7B65">
        <w:rPr>
          <w:rFonts w:ascii="Calibri" w:hAnsi="Calibri" w:cs="Calibri"/>
          <w:sz w:val="20"/>
        </w:rPr>
        <w:tab/>
        <w:t>Discussion, Decision</w:t>
      </w:r>
    </w:p>
    <w:p w14:paraId="504D6D6E" w14:textId="77777777" w:rsidR="00105716" w:rsidRPr="00CD7B65" w:rsidRDefault="00105716" w:rsidP="00105716">
      <w:pPr>
        <w:rPr>
          <w:rFonts w:ascii="Calibri" w:hAnsi="Calibri" w:cs="Calibri"/>
        </w:rPr>
      </w:pPr>
    </w:p>
    <w:p w14:paraId="456BFE63" w14:textId="77777777" w:rsidR="00105716" w:rsidRPr="00CD7B65" w:rsidRDefault="00105716" w:rsidP="00105716">
      <w:pPr>
        <w:pStyle w:val="1"/>
        <w:rPr>
          <w:rFonts w:ascii="Calibri" w:hAnsi="Calibri" w:cs="Calibri"/>
          <w:sz w:val="20"/>
          <w:szCs w:val="20"/>
        </w:rPr>
      </w:pPr>
      <w:bookmarkStart w:id="0" w:name="_Ref488331639"/>
      <w:r w:rsidRPr="00CD7B65">
        <w:rPr>
          <w:rFonts w:ascii="Calibri" w:hAnsi="Calibri" w:cs="Calibri"/>
          <w:sz w:val="20"/>
          <w:szCs w:val="20"/>
        </w:rPr>
        <w:t>Introduction</w:t>
      </w:r>
      <w:bookmarkEnd w:id="0"/>
    </w:p>
    <w:p w14:paraId="50607217" w14:textId="66DDB3A0" w:rsidR="00BC0E2A" w:rsidRPr="00CD7B65" w:rsidRDefault="00BC0E2A" w:rsidP="00105716">
      <w:pPr>
        <w:rPr>
          <w:rFonts w:ascii="Calibri" w:hAnsi="Calibri" w:cs="Calibri"/>
        </w:rPr>
      </w:pPr>
      <w:r w:rsidRPr="00CD7B65">
        <w:rPr>
          <w:rFonts w:ascii="Calibri" w:hAnsi="Calibri" w:cs="Calibri"/>
        </w:rPr>
        <w:t>According to current running CR discussion, one can be found that it is not easily readable due to different carrier</w:t>
      </w:r>
      <w:r w:rsidR="00E92E4F">
        <w:rPr>
          <w:rFonts w:ascii="Calibri" w:hAnsi="Calibri" w:cs="Calibri"/>
        </w:rPr>
        <w:t xml:space="preserve"> </w:t>
      </w:r>
      <w:r w:rsidR="00E92E4F">
        <w:rPr>
          <w:rFonts w:ascii="Calibri" w:hAnsi="Calibri" w:cs="Calibri" w:hint="eastAsia"/>
        </w:rPr>
        <w:t>us</w:t>
      </w:r>
      <w:r w:rsidR="00E92E4F">
        <w:rPr>
          <w:rFonts w:ascii="Calibri" w:hAnsi="Calibri" w:cs="Calibri"/>
        </w:rPr>
        <w:t>age, i.e.</w:t>
      </w:r>
      <w:r w:rsidR="001D2E8F">
        <w:rPr>
          <w:rFonts w:ascii="Calibri" w:hAnsi="Calibri" w:cs="Calibri"/>
        </w:rPr>
        <w:t>,</w:t>
      </w:r>
      <w:r w:rsidR="00E92E4F">
        <w:rPr>
          <w:rFonts w:ascii="Calibri" w:hAnsi="Calibri" w:cs="Calibri"/>
        </w:rPr>
        <w:t xml:space="preserve"> unlisenced carrier and multi-carier,</w:t>
      </w:r>
      <w:r w:rsidRPr="00CD7B65">
        <w:rPr>
          <w:rFonts w:ascii="Calibri" w:hAnsi="Calibri" w:cs="Calibri"/>
        </w:rPr>
        <w:t xml:space="preserve"> can be used for different sidelink scenarios.</w:t>
      </w:r>
      <w:r w:rsidR="005A6234" w:rsidRPr="00CD7B65">
        <w:rPr>
          <w:rFonts w:ascii="Calibri" w:hAnsi="Calibri" w:cs="Calibri"/>
        </w:rPr>
        <w:t xml:space="preserve"> Therefore, in this contribution, we will propose to use additional terms to differentiate sidelink service which can use unlisenced carrier and sidelink service which can use multiple carriers.</w:t>
      </w:r>
    </w:p>
    <w:p w14:paraId="1503AFCA" w14:textId="1DD85C9A" w:rsidR="00105716" w:rsidRPr="00CD7B65" w:rsidRDefault="00105716" w:rsidP="00105716">
      <w:pPr>
        <w:pStyle w:val="1"/>
        <w:rPr>
          <w:rFonts w:ascii="Calibri" w:hAnsi="Calibri" w:cs="Calibri"/>
          <w:sz w:val="20"/>
          <w:szCs w:val="20"/>
        </w:rPr>
      </w:pPr>
      <w:r w:rsidRPr="00CD7B65">
        <w:rPr>
          <w:rFonts w:ascii="Calibri" w:hAnsi="Calibri" w:cs="Calibri"/>
          <w:sz w:val="20"/>
          <w:szCs w:val="20"/>
        </w:rPr>
        <w:t>Discussion</w:t>
      </w:r>
    </w:p>
    <w:p w14:paraId="106531ED" w14:textId="11C555A9" w:rsidR="005B1592" w:rsidRPr="00CD7B65" w:rsidRDefault="005B1592" w:rsidP="005B1592">
      <w:pPr>
        <w:rPr>
          <w:rFonts w:ascii="Calibri" w:hAnsi="Calibri" w:cs="Calibri"/>
        </w:rPr>
      </w:pPr>
      <w:r w:rsidRPr="00CD7B65">
        <w:rPr>
          <w:rFonts w:ascii="Calibri" w:hAnsi="Calibri" w:cs="Calibri"/>
        </w:rPr>
        <w:t>In the current specification, there are several terms to describe sidelink related services, which are listed in the following: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4966" w:rsidRPr="00CD7B65" w14:paraId="3AA26CF7" w14:textId="77777777" w:rsidTr="00F14966">
        <w:tc>
          <w:tcPr>
            <w:tcW w:w="9629" w:type="dxa"/>
          </w:tcPr>
          <w:p w14:paraId="10AA0BD5" w14:textId="77777777" w:rsidR="0017071A" w:rsidRPr="00CD7B65" w:rsidRDefault="0017071A" w:rsidP="0017071A">
            <w:pPr>
              <w:rPr>
                <w:rFonts w:ascii="Calibri" w:eastAsia="Malgun Gothic" w:hAnsi="Calibri" w:cs="Calibri"/>
                <w:lang w:eastAsia="ko-KR"/>
              </w:rPr>
            </w:pPr>
            <w:r w:rsidRPr="00CD7B65">
              <w:rPr>
                <w:rFonts w:ascii="Calibri" w:hAnsi="Calibri" w:cs="Calibri"/>
                <w:b/>
              </w:rPr>
              <w:t>NR sidelink</w:t>
            </w:r>
            <w:r w:rsidRPr="00CD7B65">
              <w:rPr>
                <w:rFonts w:ascii="Calibri" w:hAnsi="Calibri" w:cs="Calibri"/>
                <w:b/>
                <w:lang w:eastAsia="ko-KR"/>
              </w:rPr>
              <w:t xml:space="preserve"> communication</w:t>
            </w:r>
            <w:r w:rsidRPr="00CD7B65">
              <w:rPr>
                <w:rFonts w:ascii="Calibri" w:hAnsi="Calibri" w:cs="Calibri"/>
              </w:rPr>
              <w:t>:</w:t>
            </w:r>
            <w:r w:rsidRPr="00CD7B65">
              <w:rPr>
                <w:rFonts w:ascii="Calibri" w:eastAsia="Malgun Gothic" w:hAnsi="Calibri" w:cs="Calibri"/>
                <w:lang w:eastAsia="ko-KR"/>
              </w:rPr>
              <w:t xml:space="preserve"> </w:t>
            </w:r>
            <w:r w:rsidRPr="00CD7B65">
              <w:rPr>
                <w:rFonts w:ascii="Calibri" w:hAnsi="Calibri" w:cs="Calibri"/>
              </w:rPr>
              <w:t>AS functionality enabling at least V2X Communication as defined in TS 23.287 [55], and ProSe Communication (including ProSe UE-to-Network Relay and non-Relay communication) as defined in TS 23.304 [65] between two or more nearby UEs, using NR technology but not traversing any network node</w:t>
            </w:r>
            <w:r w:rsidRPr="00CD7B65">
              <w:rPr>
                <w:rFonts w:ascii="Calibri" w:eastAsia="Malgun Gothic" w:hAnsi="Calibri" w:cs="Calibri"/>
                <w:lang w:eastAsia="ko-KR"/>
              </w:rPr>
              <w:t>.</w:t>
            </w:r>
          </w:p>
          <w:p w14:paraId="6AF9F371" w14:textId="77777777" w:rsidR="00D67223" w:rsidRPr="00CD7B65" w:rsidRDefault="00D67223" w:rsidP="00D67223">
            <w:pPr>
              <w:rPr>
                <w:rFonts w:ascii="Calibri" w:hAnsi="Calibri" w:cs="Calibri"/>
              </w:rPr>
            </w:pPr>
            <w:r w:rsidRPr="00CD7B65">
              <w:rPr>
                <w:rFonts w:ascii="Calibri" w:hAnsi="Calibri" w:cs="Calibri"/>
                <w:b/>
              </w:rPr>
              <w:t>V2X sidelink</w:t>
            </w:r>
            <w:r w:rsidRPr="00CD7B65">
              <w:rPr>
                <w:rFonts w:ascii="Calibri" w:hAnsi="Calibri" w:cs="Calibri"/>
                <w:b/>
                <w:lang w:eastAsia="ko-KR"/>
              </w:rPr>
              <w:t xml:space="preserve"> communication</w:t>
            </w:r>
            <w:r w:rsidRPr="00CD7B65">
              <w:rPr>
                <w:rFonts w:ascii="Calibri" w:hAnsi="Calibri" w:cs="Calibri"/>
              </w:rPr>
              <w:t>:</w:t>
            </w:r>
            <w:r w:rsidRPr="00CD7B65">
              <w:rPr>
                <w:rFonts w:ascii="Calibri" w:hAnsi="Calibri" w:cs="Calibri"/>
                <w:lang w:eastAsia="ko-KR"/>
              </w:rPr>
              <w:t xml:space="preserve"> </w:t>
            </w:r>
            <w:r w:rsidRPr="00CD7B65">
              <w:rPr>
                <w:rFonts w:ascii="Calibri" w:hAnsi="Calibri" w:cs="Calibri"/>
              </w:rPr>
              <w:t>AS functionality enabling V2X Communication as defined in TS 23.285 [56], between nearby UEs, using E-UTRA technology but not traversing any network node.</w:t>
            </w:r>
          </w:p>
          <w:p w14:paraId="20600F14" w14:textId="77777777" w:rsidR="005D30BE" w:rsidRPr="00CD7B65" w:rsidRDefault="005D30BE" w:rsidP="005D30BE">
            <w:pPr>
              <w:rPr>
                <w:rFonts w:ascii="Calibri" w:eastAsia="Malgun Gothic" w:hAnsi="Calibri" w:cs="Calibri"/>
                <w:lang w:eastAsia="ko-KR"/>
              </w:rPr>
            </w:pPr>
            <w:r w:rsidRPr="00CD7B65">
              <w:rPr>
                <w:rFonts w:ascii="Calibri" w:hAnsi="Calibri" w:cs="Calibri"/>
                <w:b/>
              </w:rPr>
              <w:t>NR sidelink</w:t>
            </w:r>
            <w:r w:rsidRPr="00CD7B65">
              <w:rPr>
                <w:rFonts w:ascii="Calibri" w:hAnsi="Calibri" w:cs="Calibri"/>
                <w:b/>
                <w:lang w:eastAsia="ko-KR"/>
              </w:rPr>
              <w:t xml:space="preserve"> discovery</w:t>
            </w:r>
            <w:r w:rsidRPr="00CD7B65">
              <w:rPr>
                <w:rFonts w:ascii="Calibri" w:hAnsi="Calibri" w:cs="Calibri"/>
              </w:rPr>
              <w:t>:</w:t>
            </w:r>
            <w:r w:rsidRPr="00CD7B65">
              <w:rPr>
                <w:rFonts w:ascii="Calibri" w:eastAsia="Malgun Gothic" w:hAnsi="Calibri" w:cs="Calibri"/>
                <w:lang w:eastAsia="ko-KR"/>
              </w:rPr>
              <w:t xml:space="preserve"> </w:t>
            </w:r>
            <w:r w:rsidRPr="00CD7B65">
              <w:rPr>
                <w:rFonts w:ascii="Calibri" w:hAnsi="Calibri" w:cs="Calibri"/>
              </w:rPr>
              <w:t>AS functionality enabling ProSe non-Relay Discovery and ProSe UE-to-Network Relay discovery for Proximity based Services as defined in TS 23.304 [65] between two or more nearby UEs, using NR technology but not traversing any network node</w:t>
            </w:r>
            <w:r w:rsidRPr="00CD7B65">
              <w:rPr>
                <w:rFonts w:ascii="Calibri" w:eastAsia="Malgun Gothic" w:hAnsi="Calibri" w:cs="Calibri"/>
                <w:lang w:eastAsia="ko-KR"/>
              </w:rPr>
              <w:t>.</w:t>
            </w:r>
          </w:p>
          <w:p w14:paraId="04DA0299" w14:textId="46BA40EB" w:rsidR="00F14966" w:rsidRPr="00CD7B65" w:rsidRDefault="00787852" w:rsidP="005B1592">
            <w:pPr>
              <w:rPr>
                <w:rFonts w:ascii="Calibri" w:hAnsi="Calibri" w:cs="Calibri"/>
              </w:rPr>
            </w:pPr>
            <w:r w:rsidRPr="00CD7B65">
              <w:rPr>
                <w:rFonts w:ascii="Calibri" w:hAnsi="Calibri" w:cs="Calibri"/>
                <w:b/>
              </w:rPr>
              <w:t>NR sidelink</w:t>
            </w:r>
            <w:r w:rsidRPr="00CD7B65">
              <w:rPr>
                <w:rFonts w:ascii="Calibri" w:hAnsi="Calibri" w:cs="Calibri"/>
                <w:b/>
                <w:lang w:eastAsia="ko-KR"/>
              </w:rPr>
              <w:t xml:space="preserve"> transmission</w:t>
            </w:r>
            <w:r w:rsidRPr="00CD7B65">
              <w:rPr>
                <w:rFonts w:ascii="Calibri" w:hAnsi="Calibri" w:cs="Calibri"/>
              </w:rPr>
              <w:t>:</w:t>
            </w:r>
            <w:r w:rsidRPr="00CD7B65">
              <w:rPr>
                <w:rFonts w:ascii="Calibri" w:hAnsi="Calibri" w:cs="Calibri"/>
                <w:lang w:eastAsia="ko-KR"/>
              </w:rPr>
              <w:t xml:space="preserve"> </w:t>
            </w:r>
            <w:r w:rsidRPr="00CD7B65">
              <w:rPr>
                <w:rFonts w:ascii="Calibri" w:hAnsi="Calibri" w:cs="Calibri"/>
              </w:rPr>
              <w:t>Any NR Sidelink-based transmission, including both transmission for NR sidelink discovery and transmission for NR sidelink communication.</w:t>
            </w:r>
          </w:p>
        </w:tc>
      </w:tr>
    </w:tbl>
    <w:p w14:paraId="5A740145" w14:textId="5182B58D" w:rsidR="005B1592" w:rsidRPr="00CD7B65" w:rsidRDefault="005B1592" w:rsidP="005B1592">
      <w:pPr>
        <w:rPr>
          <w:rFonts w:ascii="Calibri" w:hAnsi="Calibri" w:cs="Calibri"/>
        </w:rPr>
      </w:pPr>
    </w:p>
    <w:p w14:paraId="5CB4F57C" w14:textId="31014F40" w:rsidR="003F0B24" w:rsidRPr="00CD7B65" w:rsidRDefault="00581D4F" w:rsidP="005B1592">
      <w:pPr>
        <w:rPr>
          <w:rFonts w:ascii="Calibri" w:hAnsi="Calibri" w:cs="Calibri"/>
        </w:rPr>
      </w:pPr>
      <w:r w:rsidRPr="00CD7B65">
        <w:rPr>
          <w:rFonts w:ascii="Calibri" w:hAnsi="Calibri" w:cs="Calibri"/>
        </w:rPr>
        <w:t>In general</w:t>
      </w:r>
      <w:r w:rsidR="007442F4" w:rsidRPr="00CD7B65">
        <w:rPr>
          <w:rFonts w:ascii="Calibri" w:hAnsi="Calibri" w:cs="Calibri"/>
        </w:rPr>
        <w:t>,</w:t>
      </w:r>
      <w:r w:rsidRPr="00CD7B65">
        <w:rPr>
          <w:rFonts w:ascii="Calibri" w:hAnsi="Calibri" w:cs="Calibri"/>
        </w:rPr>
        <w:t xml:space="preserve"> NR sidelink communication indicates to include NR V2X</w:t>
      </w:r>
      <w:r w:rsidR="007442F4" w:rsidRPr="00CD7B65">
        <w:rPr>
          <w:rFonts w:ascii="Calibri" w:hAnsi="Calibri" w:cs="Calibri"/>
        </w:rPr>
        <w:t xml:space="preserve">, NR sidelink relay and NR sidelink non-relay communication. V2X sidelink communication indicates LTE V2X service. </w:t>
      </w:r>
      <w:r w:rsidR="003F0B24" w:rsidRPr="00CD7B65">
        <w:rPr>
          <w:rFonts w:ascii="Calibri" w:hAnsi="Calibri" w:cs="Calibri"/>
        </w:rPr>
        <w:t>In addition, in TS 38.321, the term NR sidelink transmission indicate all kinds of NR sidelink related services, including both NR sidelink communication and NR sidelink discovery.</w:t>
      </w:r>
      <w:r w:rsidR="00450246" w:rsidRPr="00CD7B65">
        <w:rPr>
          <w:rFonts w:ascii="Calibri" w:hAnsi="Calibri" w:cs="Calibri"/>
        </w:rPr>
        <w:t xml:space="preserve"> It can be found that </w:t>
      </w:r>
      <w:r w:rsidR="00D067DE" w:rsidRPr="00CD7B65">
        <w:rPr>
          <w:rFonts w:ascii="Calibri" w:hAnsi="Calibri" w:cs="Calibri"/>
        </w:rPr>
        <w:t>there is a lack of term to only indicate to NR V2X service.</w:t>
      </w:r>
    </w:p>
    <w:p w14:paraId="1A4A0B84" w14:textId="0859AA4B" w:rsidR="00D067DE" w:rsidRPr="00CD7B65" w:rsidRDefault="00D067DE" w:rsidP="00D067DE">
      <w:pPr>
        <w:pStyle w:val="Observation"/>
        <w:rPr>
          <w:rFonts w:ascii="Calibri" w:hAnsi="Calibri" w:cs="Calibri"/>
        </w:rPr>
      </w:pPr>
      <w:bookmarkStart w:id="1" w:name="_Toc149309330"/>
      <w:r w:rsidRPr="00CD7B65">
        <w:rPr>
          <w:rFonts w:ascii="Calibri" w:hAnsi="Calibri" w:cs="Calibri"/>
        </w:rPr>
        <w:t>Currently in the specifications, there is lack of a term to indicate to NR V2X service only.</w:t>
      </w:r>
      <w:bookmarkEnd w:id="1"/>
    </w:p>
    <w:p w14:paraId="13BEFA95" w14:textId="0AFA49E6" w:rsidR="003F0B24" w:rsidRDefault="003F0B24" w:rsidP="005B1592">
      <w:pPr>
        <w:rPr>
          <w:rFonts w:ascii="Calibri" w:hAnsi="Calibri" w:cs="Calibri"/>
        </w:rPr>
      </w:pPr>
      <w:r w:rsidRPr="00CD7B65">
        <w:rPr>
          <w:rFonts w:ascii="Calibri" w:hAnsi="Calibri" w:cs="Calibri"/>
        </w:rPr>
        <w:t xml:space="preserve">However, </w:t>
      </w:r>
      <w:r w:rsidR="00CE1948" w:rsidRPr="00CD7B65">
        <w:rPr>
          <w:rFonts w:ascii="Calibri" w:hAnsi="Calibri" w:cs="Calibri"/>
        </w:rPr>
        <w:t>in Rel-18 sidelink enhancement, the WID introduce SL-U and SL-CA for different scenarios.</w:t>
      </w:r>
      <w:r w:rsidR="00A14E10" w:rsidRPr="00CD7B65">
        <w:rPr>
          <w:rFonts w:ascii="Calibri" w:hAnsi="Calibri" w:cs="Calibri"/>
        </w:rPr>
        <w:t xml:space="preserve"> </w:t>
      </w:r>
      <w:r w:rsidR="00BD3880" w:rsidRPr="00CD7B65">
        <w:rPr>
          <w:rFonts w:ascii="Calibri" w:hAnsi="Calibri" w:cs="Calibri"/>
        </w:rPr>
        <w:t xml:space="preserve">In details, the WID </w:t>
      </w:r>
      <w:r w:rsidR="00677572">
        <w:rPr>
          <w:rFonts w:ascii="Calibri" w:hAnsi="Calibri" w:cs="Calibri"/>
        </w:rPr>
        <w:t xml:space="preserve">in below </w:t>
      </w:r>
      <w:r w:rsidR="00BD3880" w:rsidRPr="00CD7B65">
        <w:rPr>
          <w:rFonts w:ascii="Calibri" w:hAnsi="Calibri" w:cs="Calibri"/>
        </w:rPr>
        <w:t xml:space="preserve">has clearly indicate that SL CA is only applicable to NR V2X use cases. Therefore, if one </w:t>
      </w:r>
      <w:r w:rsidR="00391CFC" w:rsidRPr="00CD7B65">
        <w:rPr>
          <w:rFonts w:ascii="Calibri" w:hAnsi="Calibri" w:cs="Calibri"/>
        </w:rPr>
        <w:t>stick</w:t>
      </w:r>
      <w:r w:rsidR="00BD3880" w:rsidRPr="00CD7B65">
        <w:rPr>
          <w:rFonts w:ascii="Calibri" w:hAnsi="Calibri" w:cs="Calibri"/>
        </w:rPr>
        <w:t xml:space="preserve"> to use the term NR sidelink communicatio</w:t>
      </w:r>
      <w:r w:rsidR="00763F85" w:rsidRPr="00CD7B65">
        <w:rPr>
          <w:rFonts w:ascii="Calibri" w:hAnsi="Calibri" w:cs="Calibri"/>
        </w:rPr>
        <w:t xml:space="preserve">n including ProSe use case, which is not appropriate to describe the </w:t>
      </w:r>
      <w:r w:rsidR="009B22C2" w:rsidRPr="00CD7B65">
        <w:rPr>
          <w:rFonts w:ascii="Calibri" w:hAnsi="Calibri" w:cs="Calibri"/>
        </w:rPr>
        <w:t>multi-carrier related description in the specification. Therefore, it is suggested to introduce a new term</w:t>
      </w:r>
      <w:r w:rsidR="00512B98" w:rsidRPr="00CD7B65">
        <w:rPr>
          <w:rFonts w:ascii="Calibri" w:hAnsi="Calibri" w:cs="Calibri"/>
        </w:rPr>
        <w:t xml:space="preserve"> to describe NR V2X service only.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330" w14:paraId="3B15C4C1" w14:textId="77777777" w:rsidTr="00740330">
        <w:tc>
          <w:tcPr>
            <w:tcW w:w="9629" w:type="dxa"/>
          </w:tcPr>
          <w:p w14:paraId="4D29F3E2" w14:textId="77777777" w:rsidR="00740330" w:rsidRPr="00E54642" w:rsidRDefault="00740330" w:rsidP="00740330">
            <w:pPr>
              <w:numPr>
                <w:ilvl w:val="0"/>
                <w:numId w:val="9"/>
              </w:numPr>
              <w:spacing w:before="120" w:after="0"/>
              <w:ind w:left="426" w:hanging="284"/>
              <w:jc w:val="left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5D7E01C9" w14:textId="77777777" w:rsidR="00740330" w:rsidRPr="00136DCA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4617704F" w14:textId="77777777" w:rsidR="00740330" w:rsidRPr="00136DCA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>
              <w:rPr>
                <w:rFonts w:ascii="Times" w:hAnsi="Times" w:cs="Times"/>
                <w:lang w:eastAsia="ko-KR"/>
              </w:rPr>
              <w:t xml:space="preserve">intra-band CA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(Band n47).</w:t>
            </w:r>
          </w:p>
          <w:p w14:paraId="0C3C5CF2" w14:textId="77777777" w:rsidR="00740330" w:rsidRPr="00136DCA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02C66604" w14:textId="77777777" w:rsidR="00740330" w:rsidRPr="00136DCA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1044607A" w14:textId="77777777" w:rsidR="00740330" w:rsidRDefault="00740330" w:rsidP="00740330">
            <w:pPr>
              <w:numPr>
                <w:ilvl w:val="1"/>
                <w:numId w:val="5"/>
              </w:numPr>
              <w:spacing w:before="60" w:after="60"/>
              <w:ind w:left="1418" w:hanging="284"/>
              <w:jc w:val="left"/>
              <w:rPr>
                <w:rFonts w:ascii="Times" w:hAnsi="Times" w:cs="Times"/>
                <w:lang w:eastAsia="ko-KR"/>
              </w:rPr>
            </w:pPr>
            <w:bookmarkStart w:id="2" w:name="_Hlk89619097"/>
            <w:r w:rsidRPr="00136DCA">
              <w:rPr>
                <w:rFonts w:ascii="Times" w:hAnsi="Times" w:cs="Times"/>
                <w:lang w:eastAsia="ko-KR"/>
              </w:rPr>
              <w:lastRenderedPageBreak/>
              <w:t>A Rel-16/Rel-17 UE can receive Rel-18 sidelink broadcast/groupcast transmissions with CA for the carrier on which it receives PSCCH/PSSCH and transmits the corresponding sidelink HARQ feedback</w:t>
            </w:r>
            <w:bookmarkEnd w:id="2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2A35E491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Only Mode 2 operation</w:t>
            </w:r>
          </w:p>
          <w:p w14:paraId="708E5AA7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2038998D" w14:textId="77777777" w:rsidR="00740330" w:rsidRDefault="00740330" w:rsidP="00740330">
            <w:pPr>
              <w:numPr>
                <w:ilvl w:val="1"/>
                <w:numId w:val="5"/>
              </w:numPr>
              <w:spacing w:before="60" w:after="60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36678AD1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3D45508A" w14:textId="77777777" w:rsidR="00740330" w:rsidRDefault="00740330" w:rsidP="00740330">
            <w:pPr>
              <w:numPr>
                <w:ilvl w:val="1"/>
                <w:numId w:val="5"/>
              </w:numPr>
              <w:spacing w:before="60" w:after="60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272F8517" w14:textId="77777777" w:rsidR="00740330" w:rsidRDefault="00740330" w:rsidP="00740330">
            <w:pPr>
              <w:numPr>
                <w:ilvl w:val="1"/>
                <w:numId w:val="5"/>
              </w:numPr>
              <w:spacing w:before="60" w:after="60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14:paraId="65119DB8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6FDC77EE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77F1C85D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Reuse the LTE sidelink CA design for the following aspects:</w:t>
            </w:r>
          </w:p>
          <w:p w14:paraId="11A08F00" w14:textId="77777777" w:rsidR="00740330" w:rsidRPr="00E54642" w:rsidRDefault="00740330" w:rsidP="00740330">
            <w:pPr>
              <w:numPr>
                <w:ilvl w:val="1"/>
                <w:numId w:val="5"/>
              </w:numPr>
              <w:spacing w:before="60" w:after="60"/>
              <w:jc w:val="left"/>
              <w:rPr>
                <w:rFonts w:ascii="Times" w:hAnsi="Times" w:cs="Times"/>
                <w:lang w:eastAsia="ko-KR"/>
              </w:rPr>
            </w:pPr>
            <w:r w:rsidRPr="00E54642">
              <w:rPr>
                <w:rFonts w:ascii="Times" w:hAnsi="Times" w:cs="Times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579AA62D" w14:textId="77777777" w:rsid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62E5E882" w14:textId="77777777" w:rsidR="00740330" w:rsidRPr="00740330" w:rsidRDefault="00740330" w:rsidP="00740330">
            <w:pPr>
              <w:numPr>
                <w:ilvl w:val="0"/>
                <w:numId w:val="5"/>
              </w:numPr>
              <w:spacing w:before="60" w:after="60"/>
              <w:ind w:left="993" w:hanging="284"/>
              <w:jc w:val="left"/>
              <w:rPr>
                <w:rFonts w:ascii="Times" w:hAnsi="Times" w:cs="Times"/>
                <w:highlight w:val="yellow"/>
                <w:lang w:eastAsia="ko-KR"/>
              </w:rPr>
            </w:pPr>
            <w:r w:rsidRPr="00740330">
              <w:rPr>
                <w:rFonts w:ascii="Times" w:hAnsi="Times" w:cs="Times"/>
                <w:highlight w:val="yellow"/>
                <w:lang w:eastAsia="ko-KR"/>
              </w:rPr>
              <w:t>Note: The SL CA work in Rel-18 mainly targets some V2X use cases</w:t>
            </w:r>
          </w:p>
          <w:p w14:paraId="09952E16" w14:textId="77777777" w:rsidR="00740330" w:rsidRPr="00740330" w:rsidRDefault="00740330" w:rsidP="005B1592">
            <w:pPr>
              <w:rPr>
                <w:rFonts w:ascii="Calibri" w:hAnsi="Calibri" w:cs="Calibri"/>
              </w:rPr>
            </w:pPr>
          </w:p>
        </w:tc>
      </w:tr>
    </w:tbl>
    <w:p w14:paraId="136D9121" w14:textId="77777777" w:rsidR="00CD7B65" w:rsidRPr="00CD7B65" w:rsidRDefault="00CD7B65" w:rsidP="005B1592">
      <w:pPr>
        <w:rPr>
          <w:rFonts w:ascii="Calibri" w:hAnsi="Calibri" w:cs="Calibri"/>
        </w:rPr>
      </w:pPr>
    </w:p>
    <w:p w14:paraId="0B2A6750" w14:textId="6DA9061A" w:rsidR="00320078" w:rsidRPr="00CD7B65" w:rsidRDefault="00CD7B65" w:rsidP="00CD7B65">
      <w:pPr>
        <w:pStyle w:val="Observation"/>
        <w:rPr>
          <w:rFonts w:ascii="Calibri" w:hAnsi="Calibri" w:cs="Calibri"/>
        </w:rPr>
      </w:pPr>
      <w:bookmarkStart w:id="3" w:name="_Toc149309331"/>
      <w:r w:rsidRPr="00CD7B65">
        <w:rPr>
          <w:rFonts w:ascii="Calibri" w:hAnsi="Calibri" w:cs="Calibri"/>
        </w:rPr>
        <w:t>According to the WID, SL CA is only applicable to NR V2X use case.</w:t>
      </w:r>
      <w:bookmarkEnd w:id="3"/>
    </w:p>
    <w:p w14:paraId="0BDADC60" w14:textId="165A549A" w:rsidR="00512B98" w:rsidRPr="00CD7B65" w:rsidRDefault="00512B98" w:rsidP="00512B98">
      <w:pPr>
        <w:pStyle w:val="Proposal"/>
        <w:rPr>
          <w:rFonts w:ascii="Calibri" w:hAnsi="Calibri" w:cs="Calibri"/>
        </w:rPr>
      </w:pPr>
      <w:bookmarkStart w:id="4" w:name="_Toc149309350"/>
      <w:bookmarkStart w:id="5" w:name="_Toc149310258"/>
      <w:r w:rsidRPr="00CD7B65">
        <w:rPr>
          <w:rFonts w:ascii="Calibri" w:hAnsi="Calibri" w:cs="Calibri"/>
        </w:rPr>
        <w:t>It is suggested to introduce a new term to indicate to NR V2X service only, which can be used to describe multi-carrier related description in the specification.</w:t>
      </w:r>
      <w:bookmarkEnd w:id="4"/>
      <w:bookmarkEnd w:id="5"/>
    </w:p>
    <w:p w14:paraId="485462DB" w14:textId="72440250" w:rsidR="005B1592" w:rsidRPr="00CD7B65" w:rsidRDefault="00391CFC" w:rsidP="005B1592">
      <w:pPr>
        <w:rPr>
          <w:rFonts w:ascii="Calibri" w:hAnsi="Calibri" w:cs="Calibri"/>
        </w:rPr>
      </w:pPr>
      <w:r w:rsidRPr="00CD7B65">
        <w:rPr>
          <w:rFonts w:ascii="Calibri" w:hAnsi="Calibri" w:cs="Calibri"/>
        </w:rPr>
        <w:t xml:space="preserve">Furthermore, for SL-U, </w:t>
      </w:r>
      <w:r w:rsidR="004768E1" w:rsidRPr="00CD7B65">
        <w:rPr>
          <w:rFonts w:ascii="Calibri" w:hAnsi="Calibri" w:cs="Calibri"/>
        </w:rPr>
        <w:t>it</w:t>
      </w:r>
      <w:r w:rsidRPr="00CD7B65">
        <w:rPr>
          <w:rFonts w:ascii="Calibri" w:hAnsi="Calibri" w:cs="Calibri"/>
        </w:rPr>
        <w:t xml:space="preserve"> has a wider usage since the WID did not restrict the use case to V2X only</w:t>
      </w:r>
      <w:r w:rsidR="004768E1" w:rsidRPr="00CD7B65">
        <w:rPr>
          <w:rFonts w:ascii="Calibri" w:hAnsi="Calibri" w:cs="Calibri"/>
        </w:rPr>
        <w:t xml:space="preserve">. However, ProSe communication should also be at least out of the scope. Therefore, if one </w:t>
      </w:r>
      <w:r w:rsidR="00AA3D20" w:rsidRPr="00CD7B65">
        <w:rPr>
          <w:rFonts w:ascii="Calibri" w:hAnsi="Calibri" w:cs="Calibri"/>
        </w:rPr>
        <w:t>capture SL-U related description in the specification, the following alternative can be considered for clarification:</w:t>
      </w:r>
    </w:p>
    <w:p w14:paraId="3619AFB3" w14:textId="79118C64" w:rsidR="00AA3D20" w:rsidRPr="00CD7B65" w:rsidRDefault="00AA3D20" w:rsidP="00AA3D20">
      <w:pPr>
        <w:pStyle w:val="a9"/>
        <w:numPr>
          <w:ilvl w:val="0"/>
          <w:numId w:val="8"/>
        </w:numPr>
        <w:rPr>
          <w:rFonts w:ascii="Calibri" w:hAnsi="Calibri" w:cs="Calibri"/>
        </w:rPr>
      </w:pPr>
      <w:r w:rsidRPr="00CD7B65">
        <w:rPr>
          <w:rFonts w:ascii="Calibri" w:hAnsi="Calibri" w:cs="Calibri"/>
        </w:rPr>
        <w:t xml:space="preserve">Alt 1: To use </w:t>
      </w:r>
      <w:r w:rsidR="00035D33">
        <w:rPr>
          <w:rFonts w:ascii="Calibri" w:hAnsi="Calibri" w:cs="Calibri"/>
        </w:rPr>
        <w:t xml:space="preserve">the phrase </w:t>
      </w:r>
      <w:r w:rsidRPr="00CD7B65">
        <w:rPr>
          <w:rFonts w:ascii="Calibri" w:hAnsi="Calibri" w:cs="Calibri"/>
        </w:rPr>
        <w:t>“…for NR sidelink communication excluding ProSe communication”</w:t>
      </w:r>
    </w:p>
    <w:p w14:paraId="1D21223F" w14:textId="02D9C7FE" w:rsidR="00AA3D20" w:rsidRPr="00CD7B65" w:rsidRDefault="00AA3D20" w:rsidP="00AA3D20">
      <w:pPr>
        <w:pStyle w:val="a9"/>
        <w:numPr>
          <w:ilvl w:val="0"/>
          <w:numId w:val="8"/>
        </w:numPr>
        <w:rPr>
          <w:rFonts w:ascii="Calibri" w:hAnsi="Calibri" w:cs="Calibri"/>
        </w:rPr>
      </w:pPr>
      <w:r w:rsidRPr="00CD7B65">
        <w:rPr>
          <w:rFonts w:ascii="Calibri" w:hAnsi="Calibri" w:cs="Calibri"/>
        </w:rPr>
        <w:t>Alt 2: Introduce a new term to explain the phrase</w:t>
      </w:r>
      <w:r w:rsidR="00C42008" w:rsidRPr="00CD7B65">
        <w:rPr>
          <w:rFonts w:ascii="Calibri" w:hAnsi="Calibri" w:cs="Calibri"/>
        </w:rPr>
        <w:t xml:space="preserve"> “for NR sidelink communication excluding ProSe communication”</w:t>
      </w:r>
    </w:p>
    <w:p w14:paraId="5164D27B" w14:textId="5D4CF334" w:rsidR="005B1592" w:rsidRPr="00CD7B65" w:rsidRDefault="005216D9" w:rsidP="005B1592">
      <w:pPr>
        <w:pStyle w:val="Proposal"/>
        <w:rPr>
          <w:rFonts w:ascii="Calibri" w:hAnsi="Calibri" w:cs="Calibri"/>
        </w:rPr>
      </w:pPr>
      <w:bookmarkStart w:id="6" w:name="_Toc149309351"/>
      <w:bookmarkStart w:id="7" w:name="_Toc149310259"/>
      <w:r w:rsidRPr="00CD7B65">
        <w:rPr>
          <w:rFonts w:ascii="Calibri" w:hAnsi="Calibri" w:cs="Calibri"/>
        </w:rPr>
        <w:t xml:space="preserve">When one capture SL-U related description in the specification, </w:t>
      </w:r>
      <w:r w:rsidR="002F64DB">
        <w:rPr>
          <w:rFonts w:ascii="Calibri" w:hAnsi="Calibri" w:cs="Calibri"/>
        </w:rPr>
        <w:t xml:space="preserve">either </w:t>
      </w:r>
      <w:r w:rsidRPr="00CD7B65">
        <w:rPr>
          <w:rFonts w:ascii="Calibri" w:hAnsi="Calibri" w:cs="Calibri"/>
        </w:rPr>
        <w:t>the phrase “for NR sidelink communication excluding ProSe communication” can be used, or a new term</w:t>
      </w:r>
      <w:r w:rsidR="002F64DB">
        <w:rPr>
          <w:rFonts w:ascii="Calibri" w:hAnsi="Calibri" w:cs="Calibri"/>
        </w:rPr>
        <w:t xml:space="preserve"> can be introduced</w:t>
      </w:r>
      <w:r w:rsidR="001D5B3E">
        <w:rPr>
          <w:rFonts w:ascii="Calibri" w:hAnsi="Calibri" w:cs="Calibri"/>
        </w:rPr>
        <w:t xml:space="preserve"> </w:t>
      </w:r>
      <w:r w:rsidR="00132171">
        <w:rPr>
          <w:rFonts w:ascii="Calibri" w:hAnsi="Calibri" w:cs="Calibri"/>
        </w:rPr>
        <w:t>to get the same</w:t>
      </w:r>
      <w:r w:rsidR="001D5B3E">
        <w:rPr>
          <w:rFonts w:ascii="Calibri" w:hAnsi="Calibri" w:cs="Calibri"/>
        </w:rPr>
        <w:t xml:space="preserve"> meaning</w:t>
      </w:r>
      <w:r w:rsidRPr="00CD7B65">
        <w:rPr>
          <w:rFonts w:ascii="Calibri" w:hAnsi="Calibri" w:cs="Calibri"/>
        </w:rPr>
        <w:t>.</w:t>
      </w:r>
      <w:bookmarkEnd w:id="6"/>
      <w:bookmarkEnd w:id="7"/>
    </w:p>
    <w:p w14:paraId="3106AAA0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r w:rsidRPr="006D2F6F">
        <w:rPr>
          <w:rFonts w:ascii="Calibri" w:hAnsi="Calibri" w:cs="Calibri"/>
        </w:rPr>
        <w:t>Conclusion and Proposal</w:t>
      </w:r>
    </w:p>
    <w:p w14:paraId="67CC7C30" w14:textId="0DE79322" w:rsidR="00105716" w:rsidRDefault="00105716" w:rsidP="00105716">
      <w:pPr>
        <w:rPr>
          <w:rFonts w:ascii="Calibri" w:hAnsi="Calibri" w:cs="Calibri"/>
          <w:b/>
          <w:bCs/>
        </w:rPr>
      </w:pPr>
      <w:r w:rsidRPr="00E0770E">
        <w:rPr>
          <w:rFonts w:ascii="Calibri" w:hAnsi="Calibri" w:cs="Calibri"/>
          <w:b/>
          <w:bCs/>
        </w:rPr>
        <w:t>In this paper, we have discussed the remaining issue of SL CA, a brunch of observations and proposals are listed below:</w:t>
      </w:r>
    </w:p>
    <w:p w14:paraId="24761FE5" w14:textId="77777777" w:rsidR="00BA485D" w:rsidRDefault="00BA485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rFonts w:ascii="Calibri" w:hAnsi="Calibri" w:cs="Calibri"/>
          <w:b w:val="0"/>
          <w:bCs/>
        </w:rPr>
        <w:fldChar w:fldCharType="begin"/>
      </w:r>
      <w:r>
        <w:rPr>
          <w:rFonts w:ascii="Calibri" w:hAnsi="Calibri" w:cs="Calibri"/>
          <w:b w:val="0"/>
          <w:bCs/>
        </w:rPr>
        <w:instrText xml:space="preserve"> TOC \n \t "Observation,1" </w:instrText>
      </w:r>
      <w:r>
        <w:rPr>
          <w:rFonts w:ascii="Calibri" w:hAnsi="Calibri" w:cs="Calibri"/>
          <w:b w:val="0"/>
          <w:bCs/>
        </w:rPr>
        <w:fldChar w:fldCharType="separate"/>
      </w:r>
      <w:r w:rsidRPr="000310D5">
        <w:rPr>
          <w:rFonts w:ascii="Calibri" w:hAnsi="Calibri" w:cs="Calibri"/>
          <w:noProof/>
        </w:rPr>
        <w:t>Observation 1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0310D5">
        <w:rPr>
          <w:rFonts w:ascii="Calibri" w:hAnsi="Calibri" w:cs="Calibri"/>
          <w:noProof/>
        </w:rPr>
        <w:t>Currently in the specifications, there is lack of a term to indicate to NR V2X service only.</w:t>
      </w:r>
    </w:p>
    <w:p w14:paraId="62B262A4" w14:textId="77777777" w:rsidR="00BA485D" w:rsidRDefault="00BA485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0310D5">
        <w:rPr>
          <w:rFonts w:ascii="Calibri" w:hAnsi="Calibri" w:cs="Calibri"/>
          <w:noProof/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0310D5">
        <w:rPr>
          <w:rFonts w:ascii="Calibri" w:hAnsi="Calibri" w:cs="Calibri"/>
          <w:noProof/>
        </w:rPr>
        <w:t>According to the WID, SL CA is only applicable to NR V2X use case.</w:t>
      </w:r>
    </w:p>
    <w:p w14:paraId="62042EBF" w14:textId="77777777" w:rsidR="00132171" w:rsidRDefault="00BA485D" w:rsidP="00105716">
      <w:pPr>
        <w:rPr>
          <w:noProof/>
        </w:rPr>
      </w:pPr>
      <w:r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fldChar w:fldCharType="begin"/>
      </w:r>
      <w:r>
        <w:rPr>
          <w:rFonts w:ascii="Calibri" w:hAnsi="Calibri" w:cs="Calibri"/>
          <w:b/>
          <w:bCs/>
        </w:rPr>
        <w:instrText xml:space="preserve"> TOC \n \t "Proposal,1" </w:instrText>
      </w:r>
      <w:r>
        <w:rPr>
          <w:rFonts w:ascii="Calibri" w:hAnsi="Calibri" w:cs="Calibri"/>
          <w:b/>
          <w:bCs/>
        </w:rPr>
        <w:fldChar w:fldCharType="separate"/>
      </w:r>
    </w:p>
    <w:p w14:paraId="55823DB0" w14:textId="77777777" w:rsidR="00132171" w:rsidRDefault="0013217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B106FC">
        <w:rPr>
          <w:rFonts w:cs="Calibri"/>
          <w:noProof/>
        </w:rPr>
        <w:t>Proposal 1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B106FC">
        <w:rPr>
          <w:rFonts w:ascii="Calibri" w:hAnsi="Calibri" w:cs="Calibri"/>
          <w:noProof/>
        </w:rPr>
        <w:t>It is suggested to introduce a new term to indicate to NR V2X service only, which can be used to describe multi-carrier related description in the specification.</w:t>
      </w:r>
    </w:p>
    <w:p w14:paraId="00855CC9" w14:textId="77777777" w:rsidR="00132171" w:rsidRDefault="0013217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B106FC">
        <w:rPr>
          <w:rFonts w:cs="Calibri"/>
          <w:noProof/>
        </w:rPr>
        <w:t>Proposal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B106FC">
        <w:rPr>
          <w:rFonts w:ascii="Calibri" w:hAnsi="Calibri" w:cs="Calibri"/>
          <w:noProof/>
        </w:rPr>
        <w:t>When one capture SL-U related description in the specification, either the phrase “for NR sidelink communication excluding ProSe communication” can be used, or a new term can be introduced to get the same meaning.</w:t>
      </w:r>
    </w:p>
    <w:p w14:paraId="08042C76" w14:textId="39FD0098" w:rsidR="00137169" w:rsidRDefault="00BA485D" w:rsidP="0010571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fldChar w:fldCharType="end"/>
      </w:r>
    </w:p>
    <w:p w14:paraId="56F806E1" w14:textId="77777777" w:rsidR="002F64DB" w:rsidRPr="00E0770E" w:rsidRDefault="002F64DB" w:rsidP="00105716">
      <w:pPr>
        <w:rPr>
          <w:rFonts w:ascii="Calibri" w:hAnsi="Calibri" w:cs="Calibri"/>
          <w:b/>
          <w:bCs/>
        </w:rPr>
      </w:pPr>
    </w:p>
    <w:p w14:paraId="7BD1AEB5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 w:rsidRPr="006D2F6F">
        <w:rPr>
          <w:rFonts w:ascii="Calibri" w:hAnsi="Calibri" w:cs="Calibri"/>
        </w:rPr>
        <w:lastRenderedPageBreak/>
        <w:t>Reference</w:t>
      </w:r>
      <w:bookmarkEnd w:id="9"/>
      <w:bookmarkEnd w:id="10"/>
      <w:bookmarkEnd w:id="11"/>
    </w:p>
    <w:p w14:paraId="36286159" w14:textId="77777777" w:rsidR="00105716" w:rsidRPr="006D2F6F" w:rsidRDefault="00105716" w:rsidP="00105716">
      <w:pPr>
        <w:rPr>
          <w:rFonts w:ascii="Calibri" w:hAnsi="Calibri" w:cs="Calibri"/>
        </w:rPr>
      </w:pPr>
      <w:r w:rsidRPr="006D2F6F">
        <w:rPr>
          <w:rFonts w:ascii="Calibri" w:hAnsi="Calibri" w:cs="Calibri"/>
        </w:rPr>
        <w:t>[1]RP-230077</w:t>
      </w:r>
      <w:r w:rsidRPr="006D2F6F">
        <w:rPr>
          <w:rFonts w:ascii="Calibri" w:hAnsi="Calibri" w:cs="Calibri"/>
        </w:rPr>
        <w:tab/>
        <w:t>WID revision: NR sidelink evolution</w:t>
      </w:r>
      <w:r w:rsidRPr="006D2F6F">
        <w:rPr>
          <w:rFonts w:ascii="Calibri" w:hAnsi="Calibri" w:cs="Calibri"/>
        </w:rPr>
        <w:tab/>
      </w:r>
      <w:r w:rsidRPr="006D2F6F">
        <w:rPr>
          <w:rFonts w:ascii="Calibri" w:hAnsi="Calibri" w:cs="Calibri"/>
        </w:rPr>
        <w:tab/>
        <w:t>OPPO</w:t>
      </w:r>
    </w:p>
    <w:p w14:paraId="268CD664" w14:textId="77777777" w:rsidR="00223853" w:rsidRPr="00D61E24" w:rsidRDefault="00223853"/>
    <w:sectPr w:rsidR="00223853" w:rsidRPr="00D61E24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266F" w14:textId="77777777" w:rsidR="00DB3F87" w:rsidRDefault="00DB3F87" w:rsidP="00D61E24">
      <w:pPr>
        <w:spacing w:after="0"/>
      </w:pPr>
      <w:r>
        <w:separator/>
      </w:r>
    </w:p>
  </w:endnote>
  <w:endnote w:type="continuationSeparator" w:id="0">
    <w:p w14:paraId="285E220D" w14:textId="77777777" w:rsidR="00DB3F87" w:rsidRDefault="00DB3F87" w:rsidP="00D61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07A" w14:textId="77777777" w:rsidR="00294A28" w:rsidRDefault="00C34905">
    <w:pPr>
      <w:pStyle w:val="a5"/>
      <w:tabs>
        <w:tab w:val="center" w:pos="4820"/>
        <w:tab w:val="right" w:pos="9639"/>
      </w:tabs>
    </w:pPr>
    <w:r>
      <w:tab/>
    </w: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>
      <w:rPr>
        <w:rStyle w:val="a8"/>
        <w:noProof/>
      </w:rPr>
      <w:t>4</w:t>
    </w:r>
    <w:r>
      <w:fldChar w:fldCharType="end"/>
    </w:r>
    <w:r>
      <w:rPr>
        <w:rStyle w:val="a8"/>
      </w:rPr>
      <w:t>/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>
      <w:rPr>
        <w:rStyle w:val="a8"/>
        <w:noProof/>
      </w:rPr>
      <w:t>5</w:t>
    </w:r>
    <w: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ABB26" w14:textId="77777777" w:rsidR="00DB3F87" w:rsidRDefault="00DB3F87" w:rsidP="00D61E24">
      <w:pPr>
        <w:spacing w:after="0"/>
      </w:pPr>
      <w:r>
        <w:separator/>
      </w:r>
    </w:p>
  </w:footnote>
  <w:footnote w:type="continuationSeparator" w:id="0">
    <w:p w14:paraId="03E9447A" w14:textId="77777777" w:rsidR="00DB3F87" w:rsidRDefault="00DB3F87" w:rsidP="00D61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51588"/>
    <w:multiLevelType w:val="hybridMultilevel"/>
    <w:tmpl w:val="7BDE7146"/>
    <w:lvl w:ilvl="0" w:tplc="5CD4A40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6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8"/>
    <w:rsid w:val="000014DF"/>
    <w:rsid w:val="00002979"/>
    <w:rsid w:val="00016F71"/>
    <w:rsid w:val="000322E0"/>
    <w:rsid w:val="00034407"/>
    <w:rsid w:val="00035D33"/>
    <w:rsid w:val="00036986"/>
    <w:rsid w:val="0003756C"/>
    <w:rsid w:val="00040246"/>
    <w:rsid w:val="0004251C"/>
    <w:rsid w:val="00046AB4"/>
    <w:rsid w:val="00062016"/>
    <w:rsid w:val="000913E5"/>
    <w:rsid w:val="00097CD8"/>
    <w:rsid w:val="00105716"/>
    <w:rsid w:val="00132171"/>
    <w:rsid w:val="00137169"/>
    <w:rsid w:val="001413BC"/>
    <w:rsid w:val="00150B68"/>
    <w:rsid w:val="0017071A"/>
    <w:rsid w:val="00180097"/>
    <w:rsid w:val="00184E54"/>
    <w:rsid w:val="001A04A9"/>
    <w:rsid w:val="001B20E4"/>
    <w:rsid w:val="001D2E8F"/>
    <w:rsid w:val="001D5B3A"/>
    <w:rsid w:val="001D5B3E"/>
    <w:rsid w:val="001E70D4"/>
    <w:rsid w:val="001E72B1"/>
    <w:rsid w:val="0021205A"/>
    <w:rsid w:val="00223853"/>
    <w:rsid w:val="00243CE0"/>
    <w:rsid w:val="00256ADD"/>
    <w:rsid w:val="0028516E"/>
    <w:rsid w:val="00294A34"/>
    <w:rsid w:val="002A090D"/>
    <w:rsid w:val="002A58D2"/>
    <w:rsid w:val="002B6067"/>
    <w:rsid w:val="002C50A7"/>
    <w:rsid w:val="002E3286"/>
    <w:rsid w:val="002F64DB"/>
    <w:rsid w:val="00315E65"/>
    <w:rsid w:val="00320078"/>
    <w:rsid w:val="00326974"/>
    <w:rsid w:val="00372507"/>
    <w:rsid w:val="00391CFC"/>
    <w:rsid w:val="003966DF"/>
    <w:rsid w:val="003969D7"/>
    <w:rsid w:val="003B10A3"/>
    <w:rsid w:val="003B3E4F"/>
    <w:rsid w:val="003C7AA3"/>
    <w:rsid w:val="003F0496"/>
    <w:rsid w:val="003F0B24"/>
    <w:rsid w:val="003F4EF3"/>
    <w:rsid w:val="00450246"/>
    <w:rsid w:val="004768E1"/>
    <w:rsid w:val="004837E9"/>
    <w:rsid w:val="00495F57"/>
    <w:rsid w:val="004C1964"/>
    <w:rsid w:val="004C226A"/>
    <w:rsid w:val="004D2047"/>
    <w:rsid w:val="004F1146"/>
    <w:rsid w:val="004F5D0F"/>
    <w:rsid w:val="0050330A"/>
    <w:rsid w:val="005041EB"/>
    <w:rsid w:val="00512B98"/>
    <w:rsid w:val="005216D9"/>
    <w:rsid w:val="005305A7"/>
    <w:rsid w:val="00547002"/>
    <w:rsid w:val="00581D4F"/>
    <w:rsid w:val="00583E49"/>
    <w:rsid w:val="005A4976"/>
    <w:rsid w:val="005A6234"/>
    <w:rsid w:val="005B1592"/>
    <w:rsid w:val="005D30BE"/>
    <w:rsid w:val="00602454"/>
    <w:rsid w:val="00641948"/>
    <w:rsid w:val="0066408E"/>
    <w:rsid w:val="00677572"/>
    <w:rsid w:val="006810A2"/>
    <w:rsid w:val="0069222C"/>
    <w:rsid w:val="00694FA7"/>
    <w:rsid w:val="006C0B4A"/>
    <w:rsid w:val="006C4A39"/>
    <w:rsid w:val="006D03AF"/>
    <w:rsid w:val="006D2F6F"/>
    <w:rsid w:val="006D477F"/>
    <w:rsid w:val="00712E5A"/>
    <w:rsid w:val="00740330"/>
    <w:rsid w:val="007438B8"/>
    <w:rsid w:val="007442F4"/>
    <w:rsid w:val="007477BA"/>
    <w:rsid w:val="00751ADD"/>
    <w:rsid w:val="00752780"/>
    <w:rsid w:val="00755FE2"/>
    <w:rsid w:val="00763F85"/>
    <w:rsid w:val="00765514"/>
    <w:rsid w:val="00781585"/>
    <w:rsid w:val="00787852"/>
    <w:rsid w:val="007B4869"/>
    <w:rsid w:val="007E7FEF"/>
    <w:rsid w:val="007F08C7"/>
    <w:rsid w:val="0080483D"/>
    <w:rsid w:val="0081555A"/>
    <w:rsid w:val="00815BF7"/>
    <w:rsid w:val="00850194"/>
    <w:rsid w:val="00862B2B"/>
    <w:rsid w:val="00867181"/>
    <w:rsid w:val="008D05A3"/>
    <w:rsid w:val="008D42BE"/>
    <w:rsid w:val="008F24C8"/>
    <w:rsid w:val="00900C2A"/>
    <w:rsid w:val="0094377B"/>
    <w:rsid w:val="00964C60"/>
    <w:rsid w:val="00973B50"/>
    <w:rsid w:val="00997C23"/>
    <w:rsid w:val="009A1760"/>
    <w:rsid w:val="009A6223"/>
    <w:rsid w:val="009B22C2"/>
    <w:rsid w:val="009B61EF"/>
    <w:rsid w:val="009C5569"/>
    <w:rsid w:val="009D4D13"/>
    <w:rsid w:val="00A066A5"/>
    <w:rsid w:val="00A14E10"/>
    <w:rsid w:val="00A559D8"/>
    <w:rsid w:val="00A67AD5"/>
    <w:rsid w:val="00AA15E1"/>
    <w:rsid w:val="00AA3D20"/>
    <w:rsid w:val="00AC060A"/>
    <w:rsid w:val="00AC1EAE"/>
    <w:rsid w:val="00AC6602"/>
    <w:rsid w:val="00AD79B2"/>
    <w:rsid w:val="00AE1638"/>
    <w:rsid w:val="00AF23AC"/>
    <w:rsid w:val="00AF57BA"/>
    <w:rsid w:val="00AF75E5"/>
    <w:rsid w:val="00AF77A1"/>
    <w:rsid w:val="00B07D6A"/>
    <w:rsid w:val="00B12465"/>
    <w:rsid w:val="00B343B0"/>
    <w:rsid w:val="00B50BCB"/>
    <w:rsid w:val="00B546B4"/>
    <w:rsid w:val="00B60849"/>
    <w:rsid w:val="00BA485D"/>
    <w:rsid w:val="00BC0E2A"/>
    <w:rsid w:val="00BD3880"/>
    <w:rsid w:val="00BF5712"/>
    <w:rsid w:val="00BF64F4"/>
    <w:rsid w:val="00C052FB"/>
    <w:rsid w:val="00C259F5"/>
    <w:rsid w:val="00C34905"/>
    <w:rsid w:val="00C42008"/>
    <w:rsid w:val="00C42762"/>
    <w:rsid w:val="00CA1D4A"/>
    <w:rsid w:val="00CA57D2"/>
    <w:rsid w:val="00CD7B65"/>
    <w:rsid w:val="00CE1948"/>
    <w:rsid w:val="00D067DE"/>
    <w:rsid w:val="00D24D4E"/>
    <w:rsid w:val="00D377C3"/>
    <w:rsid w:val="00D509F3"/>
    <w:rsid w:val="00D51EE8"/>
    <w:rsid w:val="00D61E24"/>
    <w:rsid w:val="00D637A1"/>
    <w:rsid w:val="00D67223"/>
    <w:rsid w:val="00DB3F87"/>
    <w:rsid w:val="00DC511E"/>
    <w:rsid w:val="00DE1C09"/>
    <w:rsid w:val="00DE5AB0"/>
    <w:rsid w:val="00DF38E6"/>
    <w:rsid w:val="00E01425"/>
    <w:rsid w:val="00E02A38"/>
    <w:rsid w:val="00E054B9"/>
    <w:rsid w:val="00E0770E"/>
    <w:rsid w:val="00E34E6C"/>
    <w:rsid w:val="00E67B1F"/>
    <w:rsid w:val="00E7256F"/>
    <w:rsid w:val="00E9155B"/>
    <w:rsid w:val="00E92E4F"/>
    <w:rsid w:val="00EA26ED"/>
    <w:rsid w:val="00F07957"/>
    <w:rsid w:val="00F14966"/>
    <w:rsid w:val="00F427D5"/>
    <w:rsid w:val="00F75C37"/>
    <w:rsid w:val="00F90EC3"/>
    <w:rsid w:val="00F94880"/>
    <w:rsid w:val="00FC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0638D4"/>
  <w15:chartTrackingRefBased/>
  <w15:docId w15:val="{3CCCB611-1FDC-40A2-B2C5-3B967B45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E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D61E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D61E2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D61E2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D61E24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D61E24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D61E24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D61E24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D61E24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D61E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1E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61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61E24"/>
    <w:rPr>
      <w:sz w:val="18"/>
      <w:szCs w:val="18"/>
    </w:rPr>
  </w:style>
  <w:style w:type="character" w:customStyle="1" w:styleId="10">
    <w:name w:val="标题 1 字符"/>
    <w:basedOn w:val="a0"/>
    <w:link w:val="1"/>
    <w:rsid w:val="00D61E24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D61E24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D61E24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D61E24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D61E24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styleId="a7">
    <w:name w:val="Hyperlink"/>
    <w:uiPriority w:val="99"/>
    <w:rsid w:val="00D61E24"/>
    <w:rPr>
      <w:color w:val="0000FF"/>
      <w:u w:val="single"/>
      <w:lang w:val="en-GB"/>
    </w:rPr>
  </w:style>
  <w:style w:type="character" w:styleId="a8">
    <w:name w:val="page number"/>
    <w:basedOn w:val="a0"/>
    <w:semiHidden/>
    <w:rsid w:val="00D61E24"/>
  </w:style>
  <w:style w:type="character" w:customStyle="1" w:styleId="CRCoverPageZchn">
    <w:name w:val="CR Cover Page Zchn"/>
    <w:link w:val="CRCoverPage"/>
    <w:rsid w:val="00D61E24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D61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"/>
    <w:link w:val="aa"/>
    <w:uiPriority w:val="34"/>
    <w:qFormat/>
    <w:rsid w:val="00D61E24"/>
    <w:pPr>
      <w:ind w:left="720"/>
      <w:contextualSpacing/>
    </w:pPr>
  </w:style>
  <w:style w:type="paragraph" w:styleId="TOC1">
    <w:name w:val="toc 1"/>
    <w:uiPriority w:val="39"/>
    <w:rsid w:val="00D61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 w:cs="Times New Roman"/>
      <w:b/>
      <w:kern w:val="0"/>
      <w:sz w:val="20"/>
    </w:rPr>
  </w:style>
  <w:style w:type="paragraph" w:customStyle="1" w:styleId="Proposal">
    <w:name w:val="Proposal"/>
    <w:basedOn w:val="a"/>
    <w:qFormat/>
    <w:rsid w:val="00D61E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61E24"/>
    <w:pPr>
      <w:numPr>
        <w:numId w:val="2"/>
      </w:numPr>
      <w:tabs>
        <w:tab w:val="left" w:pos="1304"/>
      </w:tabs>
    </w:pPr>
  </w:style>
  <w:style w:type="paragraph" w:customStyle="1" w:styleId="CRCoverPage">
    <w:name w:val="CR Cover Page"/>
    <w:link w:val="CRCoverPageZchn"/>
    <w:rsid w:val="00D61E24"/>
    <w:pPr>
      <w:spacing w:after="120"/>
    </w:pPr>
    <w:rPr>
      <w:rFonts w:ascii="Arial" w:hAnsi="Arial"/>
      <w:lang w:val="en-GB" w:eastAsia="en-US"/>
    </w:rPr>
  </w:style>
  <w:style w:type="table" w:styleId="ab">
    <w:name w:val="Table Grid"/>
    <w:basedOn w:val="a1"/>
    <w:rsid w:val="00D61E2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D61E2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c">
    <w:name w:val="Strong"/>
    <w:basedOn w:val="a0"/>
    <w:uiPriority w:val="22"/>
    <w:qFormat/>
    <w:rsid w:val="00D61E24"/>
    <w:rPr>
      <w:b/>
      <w:bCs/>
    </w:rPr>
  </w:style>
  <w:style w:type="paragraph" w:customStyle="1" w:styleId="Doc-text2">
    <w:name w:val="Doc-text2"/>
    <w:basedOn w:val="a"/>
    <w:link w:val="Doc-text2Char"/>
    <w:qFormat/>
    <w:rsid w:val="007F08C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F08C7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1F5B-B525-446A-A2E4-09DF17E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938</Words>
  <Characters>5349</Characters>
  <Application>Microsoft Office Word</Application>
  <DocSecurity>0</DocSecurity>
  <Lines>44</Lines>
  <Paragraphs>12</Paragraphs>
  <ScaleCrop>false</ScaleCrop>
  <Company>NEC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zhangboyuan</dc:creator>
  <cp:keywords/>
  <dc:description/>
  <cp:lastModifiedBy>Boyuan Zhang</cp:lastModifiedBy>
  <cp:revision>11</cp:revision>
  <dcterms:created xsi:type="dcterms:W3CDTF">2023-10-27T06:29:00Z</dcterms:created>
  <dcterms:modified xsi:type="dcterms:W3CDTF">2023-11-02T02:52:00Z</dcterms:modified>
  <cp:category>Discussion</cp:category>
</cp:coreProperties>
</file>